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10"/>
        <w:gridCol w:w="2058"/>
        <w:gridCol w:w="1508"/>
        <w:gridCol w:w="1405"/>
        <w:gridCol w:w="1942"/>
        <w:gridCol w:w="1346"/>
        <w:gridCol w:w="1509"/>
        <w:gridCol w:w="5442"/>
      </w:tblGrid>
      <w:tr w:rsidR="007F3843" w:rsidRPr="007F3843" w:rsidTr="007F3843">
        <w:trPr>
          <w:trHeight w:val="624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96"/>
            <w:bookmarkEnd w:id="0"/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6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Пояснительной записке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Соглашению о мерах по повышению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эффективности использования бюджетных средств и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увеличению поступлений налоговых и неналоговых доходов местного бюджета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10 января 2024 № 27/12-24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7F3843" w:rsidRPr="007F3843" w:rsidTr="007F3843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F3843" w:rsidRPr="007F3843" w:rsidTr="007F384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реализации плана мероприятий по росту доходов, оптимизации расходов, совершенствованию межбюджетных отношений и долговой политики на 01.01.2025</w:t>
            </w:r>
          </w:p>
        </w:tc>
      </w:tr>
      <w:tr w:rsidR="007F3843" w:rsidRPr="007F3843" w:rsidTr="007F3843">
        <w:trPr>
          <w:trHeight w:val="348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КАЗАЧИНСКОГО РАЙОНА</w:t>
            </w:r>
          </w:p>
        </w:tc>
      </w:tr>
      <w:tr w:rsidR="007F3843" w:rsidRPr="007F3843" w:rsidTr="007F384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(наименование муниципального образования) 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 показатель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целевого показателя в 2024 году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Фактически полученный экономический эффект в денежном выражении на 01.01.2025</w:t>
            </w: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F3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(где предполагается)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Информация о проделанной работе на </w:t>
            </w: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01.01.2025</w:t>
            </w:r>
          </w:p>
        </w:tc>
      </w:tr>
      <w:tr w:rsidR="00E803AE" w:rsidRPr="00E803AE" w:rsidTr="00E803AE">
        <w:trPr>
          <w:trHeight w:val="32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AE" w:rsidRPr="00E803AE" w:rsidRDefault="00E803AE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803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F3843" w:rsidRPr="007F3843" w:rsidTr="007F3843">
        <w:trPr>
          <w:trHeight w:val="31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Мероприятия по росту доходов бюджета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собираемости налоговых и неналоговых платежей в консолидированный бюджет района</w:t>
            </w:r>
          </w:p>
        </w:tc>
      </w:tr>
      <w:tr w:rsidR="007F3843" w:rsidRPr="007F3843" w:rsidTr="007F3843">
        <w:trPr>
          <w:trHeight w:val="5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исполнения прогноза поступлений в районный бюджет (кроме безвозмездных поступлений)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ежеквартально, до 15 числа месяца, следующего за отчетным кварталом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ежеквартальная оценка исполнения прогноза поступлений в бюджет в процентах от уточненного прогноза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+-7% от учтенного в параметрах бюджета прогноза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+-7% от учтенного в параметрах бюджета прогноза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2024 году ежеквартально  проводится мониторинг  исполнения прогноза поступлений в районный бюджет (кроме безвозмездных поступлений). Отклонения в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объеме, превышающем 7% от учтен</w:t>
            </w:r>
            <w:r w:rsidR="00842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прогноза поступления доходов отсутствуют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F3843" w:rsidRPr="007F3843" w:rsidTr="007F3843">
        <w:trPr>
          <w:trHeight w:val="249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рабочих встреч с налогоплательщиками, имеющими задолженность, по выявлению причин образования недоимки по налогам, по перспективам ее погашения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утвержденным графиком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рабочих встреч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(32,850 т.р.)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итогам 2024 года  было проведено 13 рабочих встреч с физическими лицами и муниципальными служащими, имеющими задолженность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уплате налогов, с последующим заслушиванием на заседании межведомственной комиссии.</w:t>
            </w:r>
          </w:p>
        </w:tc>
      </w:tr>
      <w:tr w:rsidR="007F3843" w:rsidRPr="007F3843" w:rsidTr="007F3843">
        <w:trPr>
          <w:trHeight w:val="187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рабочих встреч с плательщиками, имеющими задолженность по доходам от использования муниципального имущества (в том числе, земельных участков) 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земельно-имущественных отношений администрации Казачинского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рабочих встреч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(284,64 тыс. руб.)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было проведено 18 рабочих встреч с  14 физическими лицами, с 4 юридическими организациями, имеющими наибольшую задолженность.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результате проведенных встреч задолженность погашена  в сумме 284,64 тыс. руб.  (из них: 52,16 тыс. руб. - по аренде недвижимого имущества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232,48 тыс. руб. - по аренде земельных участков).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843" w:rsidRPr="007F3843" w:rsidTr="007F3843">
        <w:trPr>
          <w:trHeight w:val="31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предоставленное в аренду муниципальное имущество (кроме земельных участков)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земельно-имущественных отношений администрации Казачинского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21,04%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(52,16 тыс. руб.)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было проведено 3 рабочие встречи с  2 физическими лицами, 1 юридической организацией,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наибольшую задолженность.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результате проведенных встреч задолженность погашена  в сумме 52,16 тыс. руб. (19,85%).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рамках работы с дебиторской задолженностью, невозможной к взысканию, по арендаторам, признанным в оф</w:t>
            </w:r>
            <w:r w:rsidR="00842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ициальном порядке банкротами списа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задолженность в сумме 206,514 тыс. рублей.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 этом общая задолженность за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предоставленную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аренду муниципальное имущество на 01.01.2025 (10,82 тыс. руб.) по сравнению с показателем на 01.01.2024 (258,67 тыс. руб.) уменьшилась на  247,85 тыс. руб. (на 95,82%).</w:t>
            </w:r>
          </w:p>
        </w:tc>
      </w:tr>
      <w:tr w:rsidR="007F3843" w:rsidRPr="007F3843" w:rsidTr="007F3843">
        <w:trPr>
          <w:trHeight w:val="31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1.1.3.2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предоставленные в аренду земельные участки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земельно-имущественных отношений администрации Казачинского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7,23%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(232,48 тыс. руб.)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было проведено 15 рабочих встреч с  12 физическими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с 3 юридическими организаци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имеющими наибольшую задолженность.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результате проведенных встреч задолженность погашена  в сумме 232,48 тыс. руб. (6,29%). 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рамках работы с дебиторской задолженностью, невозможной к взысканию, по арендаторам, признанным в официальном порядке банкротами</w:t>
            </w:r>
            <w:r w:rsidR="00842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списана задолженность в сумме </w:t>
            </w:r>
            <w:bookmarkStart w:id="1" w:name="_GoBack"/>
            <w:bookmarkEnd w:id="1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920,58846 тыс. рублей.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 этом общая задолженность за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предоставленные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аренду земельные участки на 01.01.2025 (1 936,60 тыс. руб.) по сравнению с показателем на 01.01.2024 (3 213,47 тыс. руб.) уменьшилась на  1 276,87 тыс. руб. (на 39,73%).</w:t>
            </w:r>
          </w:p>
        </w:tc>
      </w:tr>
      <w:tr w:rsidR="007F3843" w:rsidRPr="007F3843" w:rsidTr="007F3843">
        <w:trPr>
          <w:trHeight w:val="468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заседаний межведомственной комиссии по снижению задолженности по налоговым и неналоговым платежам в консолидированный бюджет района, легализации заработной платы в организациях района (в части погашения задолженности по платежам в бюджет)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утвержденным графиком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заседаний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(2 564,188 т.р.)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2024 году было проведено 7 заседаний межведомственной комиссии по вопросам ликвидации задолженности по заработной плате, легализации «теневой» заработной платы во внебюджетном секторе экономки, легализации налоговой базы и базы по страховым взносам, увеличения поступлений налогов и страховых взносов на территории Казачинского района.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Главам сельских поселений было рекомендовано активизировать работу по доведению информации и содействию в погашении задолженности по налогам и сборам до юридических лиц и индивидуальных предпринимателей, осуществляющих хозяйственную деятельность на территории сельских поселений, а также физических лиц, проживающих на данных территориях, по повышению информированности населения и работодателей от последствиях нелегальной занятости и с руководителями организаций, индивидуальными предпринимателями о необходимости легализации доходов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(выплата заработной платы ниже МРОТ).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Так же информация по задолженности бюджетных учреждений доведена до сведения учредителей, проведены устные беседы с руководителями учреждений - должников. 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претензионной (досудебной) работы по арендной плате за предоставленное в аренду муниципальное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имущество, 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земельно-имущественных отношений администрации Казачинского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7F3843" w:rsidRPr="007F3843" w:rsidTr="007F3843">
        <w:trPr>
          <w:trHeight w:val="187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1.1.5.1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предоставленное в аренду муниципальное имущество (кроме земельных участков)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претензионная (досудебная) работа  по арендной плате за предоставленное в аренду муниципальное имущество не проводилась. При этом общая задолженность за предоставленное в аренду муниципальное имущество на 01.01.2024 (10,82 тыс. руб.) по сравнению с показателем на 01.01.2024 (258,67 тыс. руб.) уменьшилась на 247,85 тыс. руб. (на 95,82%) за счет проведения рабочих встреч с арендаторами-должниками и списания задолженности, невозможной к взысканию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</w:p>
        </w:tc>
      </w:tr>
      <w:tr w:rsidR="007F3843" w:rsidRPr="007F3843" w:rsidTr="007F3843">
        <w:trPr>
          <w:trHeight w:val="249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предоставленные в аренду земельные участки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12,07%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(388,03 тыс. руб.)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 направлено 58 претензионных писем в адрес индивидуальных предпринимателей и организаций - арендаторов земельных участков, имеющих задолженность по арендной плате.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арендаторами-должниками в результате претензионной работы  погашена задолженность в сумме 388,03 тыс. руб. (12,07%), при этом общая задолженность за предоставленные в аренду земельные участки (по результатам проведения сверки арендных отношений) на 01.01.2025 (1 936,60 тыс. руб.) по сравнению с показателем на 01.01.2024 (3 213,47 тыс. руб.) уменьшилась на  1 276,87 тыс. руб. (на 39,73%) </w:t>
            </w:r>
            <w:proofErr w:type="gramEnd"/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Взыскание задолженности по арендной плате за муниципальное имущество через суды, в том числе: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7F3843" w:rsidRPr="007F3843" w:rsidTr="00F652D9">
        <w:trPr>
          <w:trHeight w:val="8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взыскание задолженности по арендной плате за муниципальное имущество (кроме земельных участков) через арбитражные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суды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земельно-имущественных отношений администрации Казачинского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администрацией района иски в Арбитражный суд Красноярского края о взыскании задолженности по арендной плате за муниципальное имущество не подавались. Общая задолженность за предоставленное в аренду муниципальное имущество на 01.01.2025 (10,82 тыс. руб.) по сравнению с показателем на 01.01.2024 (258,67 тыс. руб.) уменьшилась на  247,85 тыс. руб. (на 95,82%). </w:t>
            </w:r>
          </w:p>
        </w:tc>
      </w:tr>
      <w:tr w:rsidR="007F3843" w:rsidRPr="007F3843" w:rsidTr="007F3843">
        <w:trPr>
          <w:trHeight w:val="268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1.1.6.2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взыскание задолженности по арендной плате за земельные участки через арбитражные суды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0,41%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(13,33 тыс. руб.)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администрацией района направлено 2 иска в Арбитражный суд Красноярского края о  взыскании  задолженности по арендной плате за земельный участок.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Казачинский районный суд направлено 13 исков о взыскании задолженности по аренде земельных участков к физическим лицам на общую сумму 168,68 тыс. руб. За 2024 год поступило задолженности по принятым судебным решениям в сумме 13,33 тыс.руб. (0,41%). При этом общая задолженность за предоставленные в аренду земельные участки (по результатам проведения сверки арендных отношений) на 01.01.2025 (1 936,60 тыс. руб.) по сравнению с показателем на 01.01.2024 (3 213,47 тыс. руб.) уменьшилась на  1 276,87 тыс. руб. (на 39,73%) </w:t>
            </w:r>
          </w:p>
        </w:tc>
      </w:tr>
      <w:tr w:rsidR="007F3843" w:rsidRPr="007F3843" w:rsidTr="007F3843">
        <w:trPr>
          <w:trHeight w:val="56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содействию в погашении налоговой задолженности у сотрудников органов местного самоуправления и подведомственных учреждений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Казачинского района Финансовое управление администрации Казачинского района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Отдел образования администрации Казачинского района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Отдел культуры, спорта, туризма и молодежной политики администрации Казачинского района, главы поселений Казачинского района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задолженности, в процентах от уровня задолженности на 1 января текущего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39,85%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года от ФНС получена информация о задолженности работников ОМСУ и муниципальных учреждений на сумму 452,07 тыс. руб. В результате проведенной работы задолженность снизилась на 180,15 тыс. руб. (на 39,85%).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роли имущественных налогов и доходов от аренды муниципального имущества, в том числе земельных участков при формировании доходов бюджета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инвентаризационной стоимости зданий, помещений, сооружений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 до 10 числа месяца, следующего за отчетным кварталом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объектов, по которым проведено уточнение инвентаризационной стоимости 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уточнение инвентаризационной стоимости зданий, помещений, сооружений не производилось. </w:t>
            </w:r>
          </w:p>
        </w:tc>
      </w:tr>
      <w:tr w:rsidR="007F3843" w:rsidRPr="007F3843" w:rsidTr="007F3843">
        <w:trPr>
          <w:trHeight w:val="31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кадастровым инженерам картографического материала, документов градостроительного зонирования, документации по планировке территории для подготовки межевых планов в соответствии с Приказом Федеральной службы государственной регистрации, кадастра и картографии от 14.12.2021 №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/0592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архитектуры, строительства и ЖКХ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года, по мере поступления запросов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 от полученных запросов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2024 году кадастровым инженерам предоставлено 85 схем картографического материала для подготовки межевых планов земельных участков (100% от полученных запросов).</w:t>
            </w:r>
          </w:p>
        </w:tc>
      </w:tr>
      <w:tr w:rsidR="007F3843" w:rsidRPr="007F3843" w:rsidTr="007F3843">
        <w:trPr>
          <w:trHeight w:val="343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Координация деятельности и методическое сопровождение администраций сельских поселений по ведению федеральной информационной адресной системы  (ФИАС) и актуализации сведений государственного адресного реестра (ГАР)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адресов, внесенных в ФИАС,  в процентах от количества адресов, отсутствующих в ФИАС в соответствии со сведениями, полученными от ФНС (по району в целом)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сельскими администрациями отработаны все поступившие запросы: два запроса по ведению ФИАС и два запроса по актуализации ГАР.</w:t>
            </w:r>
          </w:p>
        </w:tc>
      </w:tr>
      <w:tr w:rsidR="007F3843" w:rsidRPr="007F3843" w:rsidTr="007F3843">
        <w:trPr>
          <w:trHeight w:val="338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нормативных правовых актов  об уточнении сведений, содержащихся в ЕГРН, и направлении таких актов в Филиал ФГБУ «ФКП Росреестра» по Красноярскому краю в установленном порядке взаимодействия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земельных участков, по которым отсутствуют сведения о категории и (или) виде разрешенного использования в процентах от количества земельных участков, зарегистрированных в ЕГРН на начало отчетного периода (по району в целом)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дополнительные сведения о подготовленных нормативных правовых актах администрации Казачинского района передаются в порядке межведомственного взаимодействия. В 2024 году администрацией Казачинского района подготовлено 5 постановлений по уточнению сведений в отношении 6 земельных участков. Постановления направлены в  филиал ФГБУ «ФКП Росреестра» по Красноярскому краю с использованием  средств электронного взаимодействия.</w:t>
            </w:r>
          </w:p>
        </w:tc>
      </w:tr>
      <w:tr w:rsidR="007F3843" w:rsidRPr="007F3843" w:rsidTr="007F3843">
        <w:trPr>
          <w:trHeight w:val="2808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1.2.5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ФГБУ «ФКП Росреестра» по Красноярскому краю  в части предоставления документов, необходимых и достаточных для внесения в государственный кадастр недвижимости сведений об объектах недвижимости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архитектуры, строительства и ЖКХ администрации Казачинского района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года, по мере поступления запросов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 запросов, в процентах от количества полученных запросов (по району в целом)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запросы ФГБУ «ФКП Росреестра»  не требующие уточнений в сельских советах направляются 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двух суток с даты получения  запроса. Нормативно правовые акты направляются  в  филиал ФГБУ «ФКП Росреестра» по Красноярскому краю  с использованием  средств электронного взаимодействия. За 2024 год отработано 14 запросов (100% от поступивших запросов).</w:t>
            </w:r>
          </w:p>
        </w:tc>
      </w:tr>
      <w:tr w:rsidR="007F3843" w:rsidRPr="007F3843" w:rsidTr="007F3843">
        <w:trPr>
          <w:trHeight w:val="2808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ФГБУ «ФКП Росреестра» по Красноярскому краю в части предоставления документов, необходимых и достаточных для внесения (исключения) в ЕГРН сведений о ранее учтенных объектах недвижимости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архитектуры, строительства и ЖКХ администрации Казачинского района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года, по мере поступления запросов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ранее учтенных объектов недвижимости, по которым уточнены сведения в процентах от ранее учтенных объектов на начало отчетного периода (по району в целом)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сведения в части предоставления документов, необходимых и достаточных для внесения (исключения) в ЕГРН сведений о ранее учтенных объектах недвижимости направляются  в ФГБУ «ФКП Росреестра»  по Красноярскому краю в порядке межведомственного взаимодействия. В 2024 году запросы не поступали.</w:t>
            </w:r>
          </w:p>
        </w:tc>
      </w:tr>
      <w:tr w:rsidR="007F3843" w:rsidRPr="007F3843" w:rsidTr="007F3843">
        <w:trPr>
          <w:trHeight w:val="98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Инвентаризация муниципального имущества в целях выявления несоответствия полномочиям муниципальных районов по решению вопросов местного значения и подготовка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предложений по приватизации указанного имущества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ежегодно, до утверждения районного бюджета на очередной финансовый год и плановый период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приватизации муниципального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выявлен 31 объект муниципального имущества, несоответствующий полномочиям муниципальных районов по решению вопросов местного значения, в том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исле: 14 внутри поселковых дорог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14 земельные участки под ними; 4 жилых помещения; водопровод; тепловые сети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нежилые помещения; пожарный водоем и др.  Данное имущество передано в собственность администраций сельских поселений, на которых расположены объекты недвижимости. Имущество для включения в план приватизации в 224 году не выявлено.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1.2.8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бесхозяйного недвижимого имущества и принятие мер по обращению выявленного имущества в муниципальную собственность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 до 10 числа месяца, следующего за отчетным кварталом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объектов,  принятых в муниципальную собственность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бесхозяйных объектов не выявлено.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проверок использования муниципального имущества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проверок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проверок использования муниципального имущества не проводилось.</w:t>
            </w:r>
          </w:p>
        </w:tc>
      </w:tr>
      <w:tr w:rsidR="007F3843" w:rsidRPr="007F3843" w:rsidTr="007F3843">
        <w:trPr>
          <w:trHeight w:val="187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аукционов на право заключения договоров аренды движимого и недвижимого имущества (в том числе земельных участков), находящегося в муниципальной собственности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муниципальной собственности, предоставленных в аренду через торги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(86,46) тыс. руб.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 проведен 1 аукцион на право заключения договоров аренды движимого и недвижимого имущества, находящегося в муниципальной собственности  в отношении нежилого помещения; 3 открытых аукциона в электронной форме и 3 открытых аукциона в отношении земельных участков, собственность на которые не разграничена.</w:t>
            </w:r>
          </w:p>
        </w:tc>
      </w:tr>
      <w:tr w:rsidR="007F3843" w:rsidRPr="007F3843" w:rsidTr="007F3843">
        <w:trPr>
          <w:trHeight w:val="499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ведения реестров муниципального имущества и финансовых обязательств (договоров) муниципальных образований края в ГМИС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сведений (информации), внесенных в ГМИС, в процентах от общего количества сведений (информации), подлежащих внесению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Специалистами отдела земельно-имущественных отношений администрации Казачинского района изучена информация о внедрении ГМИС.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состоянию на 01.01.2025 года внесены в систему ГМИС 1 234 объекта имущественного комплекса, из них: здания, сооружения, ОНС, ЕНК - 148, помещения,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-место — 58, движимое имущество - 75, 36 транспортных средств; 48 земельных участка в муниципальной собственности; 11 договоров аренды имущества; 1 договор купли-продажи имущества; 44 договора безвозмездного пользования  имуществом; 10 договором найма жилых помещений;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договора аренды земельного участка, находящегося в муниципальной собственности; 548 договоров аренды земельных участков собственность на которые не разграничена; 277 договоров купли-продажи, 4 договоров безвозмездного пользования земельных участков; 3 соглашения об установлении сервитута, что составляет 100% от общего количества сведений (информации), подлежащих внесению, так же проводиться постоянная актуализация информации в системе ГМИС.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постоянной основе проводится обновление данных. Также реестр муниципального имущества перенесен в новый реестр в соответствии приказом Минфина России от 10.10.2023 №163н</w:t>
            </w:r>
          </w:p>
        </w:tc>
      </w:tr>
      <w:tr w:rsidR="007F3843" w:rsidRPr="007F3843" w:rsidTr="007F3843">
        <w:trPr>
          <w:trHeight w:val="155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Поддержание реестра договоров аренды муниципального имущества в актуальном состоянии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договоров аренды муниципального имущества, внесенных в реестр, в процентах от общего числа таких договоров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 договоров аренды муниципального имущества поддерживается в актуальном состоянии.</w:t>
            </w:r>
          </w:p>
        </w:tc>
      </w:tr>
      <w:tr w:rsidR="007F3843" w:rsidRPr="007F3843" w:rsidTr="007F3843">
        <w:trPr>
          <w:trHeight w:val="5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на соответствие Налоговому кодексу Российской Федерации нормативных правовых актов сельских поселений Казачинского района по местным налогам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ежегодно, до 1 декабря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НПА по местным налогам соответствуют законодательству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соответствуют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2024 году 14 НПА по местным налогам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приведены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с действующим законодательством.</w:t>
            </w:r>
          </w:p>
        </w:tc>
      </w:tr>
      <w:tr w:rsidR="007F3843" w:rsidRPr="007F3843" w:rsidTr="007F3843">
        <w:trPr>
          <w:trHeight w:val="150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эффективности налоговых расходов по местным налогам Казачинского района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ежегодно, до 20 сентября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отражение оценки эффективности налоговых расходов в налоговой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политике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очередной финансовый год и плановый период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материалам по проекту бюджета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Ввиду отсутствия налогов, в отношении которых у ОСМУ муниципального района имеются права на установление льгот, оценка налоговых расходов на уровне района не производилась.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Оценка налоговых расхо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по местным налогам, устанавливаем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ОМСУ поселений проведена, представлена к проекту бюджета на 2025-2027 годы.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качества муниципального земельного контроля</w:t>
            </w:r>
          </w:p>
        </w:tc>
      </w:tr>
      <w:tr w:rsidR="007F3843" w:rsidRPr="007F3843" w:rsidTr="007F3843">
        <w:trPr>
          <w:trHeight w:val="267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земельных участков, используемых без правоустанавливающих документов, и принятие мер к побуждению регистрации права на использование земельных участков. Принятие мер муниципального земельного контроля 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земельных участков, право на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которых зарегистрировано, в процентах от количества выявленных земельных участков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выявлено и поставлено на государственный учет 56 земельных участков, используемых без правоустанавливающих документов не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выявлены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F3843" w:rsidRPr="007F3843" w:rsidTr="007F3843">
        <w:trPr>
          <w:trHeight w:val="56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земельных участков, используемых не по целевому назначению, и земельных участков, имеющих признаки использования в предпринимательской деятельности (множественность земельных участков, находящихся в собственности; не единичные случаи реализации земельных участков по договорам купли-продажи и т.д.). Принятие мер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земельного контроля 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земельных участков, по которым приняты меры муниципального земельного контроля, в процентах от количества выявленных земельных участков, используемых с нарушением земельного законодательства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год выявлено 16 земельных участков, по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котрым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уточнены характеристиками (изменен вид разрешенного использования) для постановки на кадастровый учет в соответствии с осуществляемым на них видом деятельности. 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проверок соблюдения земельного законодательства в отношении физических  и юридических лиц, индивидуальных предпринимателей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земельно-имущественных отношений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плановых и внеплановых проверок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3750A9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 год</w:t>
            </w:r>
            <w:r w:rsidR="007F3843"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проведено 49 внеплановых осмотров  земельных участков в рамках муниципального земельного контроля, в результате которых вынесено 29 представлений за нарушение пожарной безопасности при пользовании земельными участками, материалы направлены в органы пожарного надзора. 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качества администрирования доходов бюджета</w:t>
            </w:r>
          </w:p>
        </w:tc>
      </w:tr>
      <w:tr w:rsidR="007F3843" w:rsidRPr="007F3843" w:rsidTr="007F3843">
        <w:trPr>
          <w:trHeight w:val="9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Доведение утвержденных назначений по  доходам до главных администраторов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ежегодно, до 31 января текущего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выписка  из правового акта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назначения по  доходам доведены до главных администраторов</w:t>
            </w:r>
          </w:p>
        </w:tc>
      </w:tr>
      <w:tr w:rsidR="007F3843" w:rsidRPr="007F3843" w:rsidTr="007F3843">
        <w:trPr>
          <w:trHeight w:val="166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 и оценка предоставления информации главными администраторами доходов (полнота, достоверность)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ежеквартально, до 15 числа месяца, следующего за отчетным кварталом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ежеквартальная оценка исполнения прогноза поступлений в бюджет, в процентах от уточненного прогноза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+-10% от учтенного в параметрах бюджета прогноза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+-10% от учтенного в параметрах бюджета прогноза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 и оценка предоставления информации главными администраторами доходов проведён</w:t>
            </w:r>
          </w:p>
        </w:tc>
      </w:tr>
      <w:tr w:rsidR="007F3843" w:rsidRPr="007F3843" w:rsidTr="00F652D9">
        <w:trPr>
          <w:trHeight w:val="54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разъяснительной работы с плательщиками по вопросам уплаты налогов (платежей)  в целях недопущения (сокращения) невыясненных поступлений в бюджет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района, отдел земельно-имущественных отношений администрации Казачинского района, Администраци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невыясненных поступлений в районный бюджет в общем объеме налоговых и неналоговых доходов районного бюджета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0,05%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2024 году в постоянном режиме проводится разъяснительная работа с плательщиками по вопросам уплаты налогов (платежей) в целях недопущения (сокращения) невыясненных поступлений, как в телефонном режиме, так и при личном обращении налогоплательщиков. По состоянию на 01.01.2025  невыясненные поступления в районный бюджет отсутствуют.</w:t>
            </w:r>
          </w:p>
        </w:tc>
      </w:tr>
      <w:tr w:rsidR="007F3843" w:rsidRPr="007F3843" w:rsidTr="007F3843">
        <w:trPr>
          <w:trHeight w:val="36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разъяснительной работы с налогоплательщиками по вопросам уплаты имущественных налогов, в том числе с целью доведения до сведения граждан информации о способах получения уведомлений и уплаты имущественных налогов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публикаций в СМИ и в сети Интернет на официальном сайте Казачинского района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официальном сайте администрации Казачинского района в телекоммуникационной сети Интернет была размещено  наборов информации: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Оплачивать налоги удобнее онлайн через сервисы ФНС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Россииг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Подключите личный кабинет и узнавайте о своих налогах вовремя;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 получении налоговых уведомлений и оплате налогов через личный кабинет на едином портале государственных и муниципальных услуг (ЕПГУ);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Какие налоговые льготы предоставляются гражданам при налогообложении имущества;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Какие льготы предусмотрены пенсионерам и лицам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предпенсионного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возраста в отношении принадлежащего им имущества;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Какие налоговые льготы предусмотрены для лиц, имеющих трех и более несовершеннолетних детей;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Как выполнить три простых шага и воспользоваться льготой при налогообложении транспортных средств и недвижимого имущества;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Оплачивать налоги удобнее онлайн через сервисы ФНС России и портала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Снижение неформальной занятости и легализация заработной платы</w:t>
            </w:r>
          </w:p>
        </w:tc>
      </w:tr>
      <w:tr w:rsidR="007F3843" w:rsidRPr="007F3843" w:rsidTr="007F3843">
        <w:trPr>
          <w:trHeight w:val="396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граждан, выполняющих работы и работающих без оформления трудового договора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организаций (индивидуальных предпринимателей), зарегистрировавших трудовые договора на наемных работников,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количества выявленных предприятий (индивидуальных предпринимателей), допустивших нарушения трудового законодательства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2024 году работники, с которыми не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заключены трудовые договоры не выявлены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F3843" w:rsidRPr="007F3843" w:rsidTr="007F3843">
        <w:trPr>
          <w:trHeight w:val="56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информационно-разъяснительной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работы в целях повышения правовой грамотности населения и формирования активной позиции граждан по защите собственных трудовых и пенсионных прав, формирования в обществе негативного отношения к хозяйствующим субъектам, допускающим наличие неформальных трудовых отношений с работниками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экономики и планирования 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публикаций в СМИ и в сети Интернет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официальном сайте Казачинского района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официальном сайте администрации Казачинского района в телекоммуникационной сети Интернет в разделе  «Неформальная занятость« размещено 6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набров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информации: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Памятка для граждан «Что такое неформальная занятость, как избежать её последствий (20.02.2024);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Неформальная занятость: причины возникновения и ее последствия (17.04.2024);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Теневая занятость (03.05.2024); 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Неформальная занятость и легализация трудовых отношений 2024 (17.07.2024);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 неформальную занятость (24.09.2024);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Почему неформальная занятость демонстрирует рост (05.12.2024).</w:t>
            </w:r>
          </w:p>
        </w:tc>
      </w:tr>
      <w:tr w:rsidR="007F3843" w:rsidRPr="007F3843" w:rsidTr="007F3843">
        <w:trPr>
          <w:trHeight w:val="343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организаций всех форм собственности, имеющих задолженность по заработной плате перед работниками, а также выплачивающих заработную плату ниже установленного минимального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установленного в Красноярском крае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организаций, устранивших нарушения трудового законодательства,  в процентах от количества выявленных организаций, допустивших нарушения трудового законодательства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заработной плате по состоянию на 01.01.2025 на территории района отсутствует. По данным МРИ ФНС № 17 количество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работодателей, выплачивающих заработную плату ниже величины МРОТ составило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ед., из 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 - 0, индивидуальные предприниматели - 10.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 рассмотрении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межведомственной комиссии работо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датели представили информацию  неполной занятости сотрудников, то есть нарушение отсутствует.</w:t>
            </w:r>
          </w:p>
        </w:tc>
      </w:tr>
      <w:tr w:rsidR="007F3843" w:rsidRPr="007F3843" w:rsidTr="007F3843">
        <w:trPr>
          <w:trHeight w:val="56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заседаний межведомственной комиссии по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снижению задолженности по налоговым и неналоговым  платежам в консолидированный бюджет района, легализации заработной платы в организациях района (в части рассмотрения организаций, допустивших нарушения трудового законодательства)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экономики и планирования  администраци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утвержденны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 графиком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 заседаний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2024 года проведено 4 заседания межведомственной комиссии по вопросам ликвидации задолженности по заработной плате, легализации «теневой« заработной платы во внебюджетном секторе экономики, легализации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налоговой базы и базы по страховым взносам, увеличения поступлений налогов и страховых взносов на территории Казачинского района, на которых были рассмотрены руководители организаций, индивидуальные предприниматели по вопросу  необходимости легализации доходов (выплата заработной платы ниже МРОТ) - представлены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штатные расписания, отражающие неполную занятость работников, то есть нарушения не выявлены.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налогового потенциала</w:t>
            </w:r>
          </w:p>
        </w:tc>
      </w:tr>
      <w:tr w:rsidR="007F3843" w:rsidRPr="007F3843" w:rsidTr="007F3843">
        <w:trPr>
          <w:trHeight w:val="249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СМП в рамках исполнения мероприятий по муниципальной программе Казачинского района «Поддержка и развитие малого и среднего предпринимательства в Казачинском районе«, в том числе с учетом привлечения сре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аевого и федерального бюджетов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ежегодно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и (или) сохраненных рабочих мест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 периоде  2024 года  фи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нсовая поддержка из средств краевого и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бюджетов оказана 4 СМП  на общую сумму 1 240,6 тыс. рублей (3-м ИП и одному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самозанятому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гражданину) (в том числе: 1 175, 6 тыс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средства краевого бюджета и 65,0  тыс. рублей средства районного бюджета).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результате было сохранено 6 и создано 2 рабочих места, привлечено инвестиций на общую сумму 5 863,908 тыс. рублей. 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информационной, консультационной поддержки субъектам малого и среднего предпринимательств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субъектов малого и среднего предпринимательства, получивших информационную, консультационную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поддержку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отчетном периоде 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года информационная, консуль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тационная  поддержка была оказана 72-м субъ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ктам малого и среднего предпринимате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льства  (в части у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стия в мероприятиях муниципальной программы  «Поддержка и разв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итие малого и среднего предпринимательства в Казачинском районе»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 же по предоставляемым услугам АНКО «Красноярский краевой центр развития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бизнеса и микрокредитная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- Мой бизнес»</w:t>
            </w:r>
            <w:proofErr w:type="gramEnd"/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оптимизации расходов бюджета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качества оказания муниципальных услуг</w:t>
            </w:r>
          </w:p>
        </w:tc>
      </w:tr>
      <w:tr w:rsidR="007F3843" w:rsidRPr="007F3843" w:rsidTr="007F3843">
        <w:trPr>
          <w:trHeight w:val="1248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публичной отчетности руководителей муниципальных учреждений об итогах деятельности учреждения, перед получателями оказываемых учреждением муниципальных услуг, гражданами в форме проведения открытых собраний, размещения соответствующей информации на официальных сайтах учреждений и (или) на официальном сайте Казачинского района в сети Интернет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Казачинского района, отдел культуры, спорта, туризма и молодежной политики администрации Казачинского района, главы поселений 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до 1 июня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руководителей муниципальных учреждений, предоставивших публичный отчет об итогах деятельности учреждения, в процентах от общего количества руководителей муниципальных учреждений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по отчетности руководителей муниципальных учреждений об итогах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образования за 2023-2024 учебный год размещена на официальном сайте Казачинского района. За учебный год 2024-2025 года информация будет размещена по окончанию учебного года.</w:t>
            </w:r>
          </w:p>
        </w:tc>
      </w:tr>
      <w:tr w:rsidR="007F3843" w:rsidRPr="007F3843" w:rsidTr="007F3843">
        <w:trPr>
          <w:trHeight w:val="62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7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https://mokazrn.gosuslugi.ru/deyatelnost/napravleniya-deyatelnosti/obrazovanie/publichnyy-otchet-ruk-obrazovatelnyh-uchrezhdeniy/</w:t>
              </w:r>
            </w:hyperlink>
          </w:p>
        </w:tc>
      </w:tr>
      <w:tr w:rsidR="007F3843" w:rsidRPr="007F3843" w:rsidTr="007F3843">
        <w:trPr>
          <w:trHeight w:val="62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8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https://mokazrn.gosuslugi.ru/deyatelnost/napravleniya-deyatelnosti/kultura/publichnyy-otchet-rukovoditeley-uchrezhdeniy-kultury/</w:t>
              </w:r>
            </w:hyperlink>
          </w:p>
        </w:tc>
      </w:tr>
      <w:tr w:rsidR="007F3843" w:rsidRPr="007F3843" w:rsidTr="00F652D9">
        <w:trPr>
          <w:trHeight w:val="82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выполнения муниципальных заданий на оказание муниципальных услуг (выполнение работ)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администрации Казачинского района, отдел культуры, спорта, туризма и молодежной политики администрации Казачинского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 главы поселений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ежегодно, до 1 марта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минимальное значение оценки выполнения учреждениями муниципального задания по включенным в него муниципальным услугам (работам), в процентах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задание за 2024 год выполнено на 99%.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Оптимизация расходов на содержание органов местного самоуправления</w:t>
            </w:r>
          </w:p>
        </w:tc>
      </w:tr>
      <w:tr w:rsidR="007F3843" w:rsidRPr="007F3843" w:rsidTr="007F3843">
        <w:trPr>
          <w:trHeight w:val="70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соблюдением предельной численности работников органов местного самоуправления, установленной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работников ОМСУ не более установленной постановлением 348-п</w:t>
            </w:r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Фактическая численность работников ОМСУ на 01.10.2024 соответствует предельной численности, установленной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      </w:r>
          </w:p>
        </w:tc>
      </w:tr>
      <w:tr w:rsidR="007F3843" w:rsidRPr="007F3843" w:rsidTr="007F3843">
        <w:trPr>
          <w:trHeight w:val="12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за соблюдением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муниципальные должности, муниципальных служащих, установленных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должности, и муниципальных служащих»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ФОТ работников ОМСУ не более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установленного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постановлением 512-п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 работников ОМСУ не превышает размеров, установленных постановлением  Совета администрации Красноярского края от 29.12.2007№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      </w:r>
          </w:p>
        </w:tc>
      </w:tr>
      <w:tr w:rsidR="007F3843" w:rsidRPr="007F3843" w:rsidTr="007F3843">
        <w:trPr>
          <w:trHeight w:val="405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Минимизация затрат на содержание органов местного самоуправления (текущие расходы без учета коммунальных расходов и расходов на оплату труда)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Казачинского района, отдел культуры, спорта, туризма и молодежной политики администрации Казачинского района, финансовое управление администрации Казачинского района, главы поселений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текущих расходов (без учета коммунальных расходов и расходов на оплату труда) по отношению к предыдущему году не более 100%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расходов на содержание ОМС на 1 311 417,74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руб.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содержание ОМСУ за 2024 г. составили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5 750 468,34 руб., расходы на содержание ОМСУ за 2023 г. составили 4 439 050,6 руб., Превышение расходов произошло в связи с увеличением тарифов на услуги связи,  стоимости ГСМ,  тарифов на 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И, расходов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предрейсовый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водителей, расходов на текущий ремонт помещений, расходов на приобретение  основных средств и материальных запасов, расходы на приобретение венков для участников СВО, расходы на экспертизу и утилизацию технических средств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Оптимизация расходов на содержание муниципальных учреждений</w:t>
            </w:r>
          </w:p>
        </w:tc>
      </w:tr>
      <w:tr w:rsidR="007F3843" w:rsidRPr="007F3843" w:rsidTr="00F652D9">
        <w:trPr>
          <w:trHeight w:val="18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Достижение значений целевых показателей заработной платы, установленных в «дорожных картах» изменений в отраслях социальной сферы Казачинского района (образования, культуры), по увеличению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размеров оплаты труда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отдельным категориям работников бюджетной сферы,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которых в соответствии с Указами Президента Российской Федерации предусмотрено повышение оплаты труда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культуры, спорта, туризма и молодежной политики администрации Казачинского района, отдел образования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Соотношение средней заработной платы педагогических работников образовательных учреждений дополнительного образования детей, работников учреждений культуры, в процентах к размеру, установленному Правительством Красноярского края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01.01.2025 целевые показатели по заработной плате по отдельным категориям работников, для которых в соответствии с Указами Президента Российской Федерации предусмотрено повышение оплаты труда, достигнуты.</w:t>
            </w:r>
          </w:p>
        </w:tc>
      </w:tr>
      <w:tr w:rsidR="007F3843" w:rsidRPr="007F3843" w:rsidTr="007F3843">
        <w:trPr>
          <w:trHeight w:val="624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2.3.2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предельных соотношений среднемесячной заработной платы руководителей, заместителей руководителей и главных бухгалтеров муниципальных учреждений и среднемесячной заработной платы работников этих учреждений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культуры, спорта, туризма и молодежной политики администрации Казачинского района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 до 1 апреля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результатов оценки на официальном сайте Казачинского района в сети Интернет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размещена на официальных сайтах учреждений и на официальном сайте Казачинского района:</w:t>
            </w:r>
          </w:p>
        </w:tc>
      </w:tr>
      <w:tr w:rsidR="007F3843" w:rsidRPr="007F3843" w:rsidTr="007F3843">
        <w:trPr>
          <w:trHeight w:val="105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https://mokazrn.gosuslugi.ru/ofitsialno/statistika/informatsiya-o-srednemesyachnoy-zarabotnoy-plate-ruk/</w:t>
              </w:r>
            </w:hyperlink>
          </w:p>
        </w:tc>
      </w:tr>
      <w:tr w:rsidR="007F3843" w:rsidRPr="007F3843" w:rsidTr="007F3843">
        <w:trPr>
          <w:trHeight w:val="3957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переводу муниципальных учреждений на новые источники теплоснабжения (модульные котельные на твердом топливе)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культуры, спорта, туризма и молодежной политики администрации Казачинского района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 образования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расходов на оплату коммунальных услуг, в процентах к предыдущему году не более предусмотренных в основных подходах к формированию бюджета и межбюджетных отношений на очередной фина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нсовый год, направленных министе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рством финансов Красноярского края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переводу муниципальных учреждений на новые источники теплоснабжения (модульные котельные на твердом топливе в образовательных учреждениях) в период отопительного сезона в 2020 году сумма коммунальных услуг составляла 2896 тыс. рублей, на 2024 год - 2735,07 тыс. рублей, т.е. на 13,2% снизились затраты по теплоэнергии.</w:t>
            </w:r>
          </w:p>
        </w:tc>
      </w:tr>
      <w:tr w:rsidR="007F3843" w:rsidRPr="007F3843" w:rsidTr="007F3843">
        <w:trPr>
          <w:trHeight w:val="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доходов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 предпринимательской и иной, приносящей доход деятельности подведомственных учреждений, в том числе увеличение объема указанных доходов, направленных на укрепление материально-технической базы учреждений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культуры, спорта, туризма и молодежной политики администрации Казачинского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ежегодно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доходов,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Муниципальными учреждениями культуры получено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доходов от предпринимательской деятельности в 2023 - 882 346.02 руб. план на 2024 - 1 809 900 руб.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Рост составляет 47,1%</w:t>
            </w:r>
          </w:p>
        </w:tc>
      </w:tr>
      <w:tr w:rsidR="007F3843" w:rsidRPr="007F3843" w:rsidTr="007F3843">
        <w:trPr>
          <w:trHeight w:val="31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2.3.5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закупок для нужд муниципальных учреждений с использованием конкурентных способов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(кроме закупки коммунальных услуг)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Отдел культуры, спорта, туризма и молодежной политики администрации Казачинского района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Отдел образования администрации Казачинского района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закупок, осуществленных с использованием конкурентных способов, в процентах от общего объема закупок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82%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закупок по Администрации Казачинского района (включая подведомственные учреждения) - 31 840 363,67 руб. (СГОЗ без коммунальных), объем закупок, осуществленных конкурентным способом –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26 179 691,84 руб., что составляет 82 % от общего объема закупок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качества финансового управления</w:t>
            </w:r>
          </w:p>
        </w:tc>
      </w:tr>
      <w:tr w:rsidR="007F3843" w:rsidRPr="007F3843" w:rsidTr="007F3843">
        <w:trPr>
          <w:trHeight w:val="936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оценки качества финансового менеджмента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главных распорядителей средств районного бюджета</w:t>
            </w:r>
            <w:proofErr w:type="gramEnd"/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Финансовое управление администрации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ежегодно, до 25 апреля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результатов оценки на официальном сайте Казачинского </w:t>
            </w: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в сети Интернет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размещена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 финансового менеджмента главных распорядителей средств районного бюджета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2023 год проведена в марте 2024 года и размещена на официальном сайте Казачинского района.</w:t>
            </w:r>
          </w:p>
        </w:tc>
      </w:tr>
      <w:tr w:rsidR="007F3843" w:rsidRPr="007F3843" w:rsidTr="007F3843">
        <w:trPr>
          <w:trHeight w:val="62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https://mokazrn.gosuslugi.ru/deyatelnost/napravleniya-deyatelnosti/finansy/finansovoe-upravlenie/svodnyy-reyting-glavnyh-r-b-s-po-kachestvu-fin-menedzh/</w:t>
              </w:r>
            </w:hyperlink>
          </w:p>
        </w:tc>
      </w:tr>
      <w:tr w:rsidR="007F3843" w:rsidRPr="007F3843" w:rsidTr="007F3843">
        <w:trPr>
          <w:trHeight w:val="936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2.4.2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качества финансового менеджмента в отношении подведомственных учреждений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Казачинского района, отдел культуры, спорта, туризма и молодежной политики администрации 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 до 1 апреля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результатов оценки на официальном сайте ГРБС и (или) на официальном сайте Казачинского района в сети Интернет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отчетную дату проведена оценка качества по 22 муниципальным учреждениям, от общего числа учреждений в количестве 22. Информация размещена на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официальной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сайте Казачинского района:</w:t>
            </w:r>
          </w:p>
        </w:tc>
      </w:tr>
      <w:tr w:rsidR="007F3843" w:rsidRPr="007F3843" w:rsidTr="007F3843">
        <w:trPr>
          <w:trHeight w:val="552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https://mokazrn.gosuslugi.ru/deyatelnost/napravleniya-deyatelnosti/obrazovanie/otsenka-kachestva-finansovogo-menedzhmenta-podved/</w:t>
              </w:r>
            </w:hyperlink>
          </w:p>
        </w:tc>
      </w:tr>
      <w:tr w:rsidR="007F3843" w:rsidRPr="007F3843" w:rsidTr="007F3843">
        <w:trPr>
          <w:trHeight w:val="552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https://mokazrn.gosuslugi.ru/deyatelnost/napravleniya-deyatelnosti/kultura/otsenka-kachestva-finansovogo-menedzhmenta-podved-uchrezhd/</w:t>
              </w:r>
            </w:hyperlink>
          </w:p>
        </w:tc>
      </w:tr>
      <w:tr w:rsidR="007F3843" w:rsidRPr="007F3843" w:rsidTr="007F3843">
        <w:trPr>
          <w:trHeight w:val="936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2.4.3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эффективности реализации муниципальных программ, подготовка предложений по дальнейшей реализации муниципальных программ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планирования администрации 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 до 1 мая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результатов оценки на официальном сайте Казачинского района в сети Интернет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эффективности реализации муниципальных программ проведена в марте 2024 года и размещена на официальном сайте администрации Казачинского района в телекоммуникационной сети Интернет по адресу: 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https://kazachinskij-r04.gosweb.gosuslugi.ru/netcat_files/32/2649/Rezult_ocenki_2023.pdf</w:t>
              </w:r>
            </w:hyperlink>
          </w:p>
        </w:tc>
      </w:tr>
      <w:tr w:rsidR="007F3843" w:rsidRPr="007F3843" w:rsidTr="00F652D9">
        <w:trPr>
          <w:trHeight w:val="687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состояния расчетов по принятым обязательствам за счет средств местного бюджета в целях недопущения образования кредиторской задолженности, в случае ее образования - </w:t>
            </w: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принятие незамедлительных мер по ее погашению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ежемесячно, до 10 числа месяца, следующего за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отчетным</w:t>
            </w:r>
            <w:proofErr w:type="gramEnd"/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наличии (отсутствии) кредиторской задолженности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 кредиторская задолженность по обязательствам, принятым за счет средств районного  бюджета, на 01.01.2025 отсутствует.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2.4.5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внутреннего муниципального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бюджетного законодательства и законодательства о закупках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 по отдельному плану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контрольных мероприятий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Была проведена проверка МБОУ Мокрушинского ДС, МБУК "Музейно-выставочный центр" Казачинского района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2.4.6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контроля в части требований, установленных статьей 142 Бюджетного кодекса Российской Федерации в отношении сельских поселений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по отдельному плану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контрольных мероприятий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Проведены контрольные мероприятия в отношении 13 сельсоветов.</w:t>
            </w:r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совершенствованию межбюджетных отношений</w:t>
            </w:r>
          </w:p>
        </w:tc>
      </w:tr>
      <w:tr w:rsidR="007F3843" w:rsidRPr="007F3843" w:rsidTr="007F3843">
        <w:trPr>
          <w:trHeight w:val="15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с администрациями поселений о  мерах по социально-экономическому развитию и оздоровлению муниципальных финансов поселения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января текущего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соглашений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Соглашения  о мерах по социально-экономическому развитию и оздоровлению муниципальных финансов поселения заключены со всеми 13 сельскими поселениями.</w:t>
            </w:r>
          </w:p>
        </w:tc>
      </w:tr>
      <w:tr w:rsidR="007F3843" w:rsidRPr="007F3843" w:rsidTr="007F3843">
        <w:trPr>
          <w:trHeight w:val="936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мониторинга  оценки качества организации бюджетного процесса</w:t>
            </w:r>
            <w:proofErr w:type="gram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сельских поселениях Казачинского района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 до 1 апреля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результатов оценки на официальном сайте Казачинского района в сети Интернет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оценка качества организации бюджетного процесса в сельских поселениях Казачинского района проведён в мае 2024 года, итоги размещены на официальном сайте Казачинского района.</w:t>
            </w:r>
          </w:p>
        </w:tc>
      </w:tr>
      <w:tr w:rsidR="007F3843" w:rsidRPr="007F3843" w:rsidTr="007F3843">
        <w:trPr>
          <w:trHeight w:val="62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A100DD" w:rsidP="007F38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u w:val="single"/>
                <w:lang w:eastAsia="ru-RU"/>
              </w:rPr>
            </w:pPr>
            <w:hyperlink r:id="rId14" w:history="1">
              <w:r w:rsidR="007F3843" w:rsidRPr="007F3843">
                <w:rPr>
                  <w:rFonts w:ascii="Calibri" w:eastAsia="Times New Roman" w:hAnsi="Calibri" w:cs="Calibri"/>
                  <w:sz w:val="20"/>
                  <w:szCs w:val="20"/>
                  <w:u w:val="single"/>
                  <w:lang w:eastAsia="ru-RU"/>
                </w:rPr>
                <w:t>https://mokazrn.gosuslugi.ru/deyatelnost/napravleniya-deyatelnosti/finansy/finansovoe-upravlenie/svodnyy-reyting-munitsipalnyh-obrazovaniy-rayona/</w:t>
              </w:r>
            </w:hyperlink>
          </w:p>
        </w:tc>
      </w:tr>
      <w:tr w:rsidR="007F3843" w:rsidRPr="007F3843" w:rsidTr="007F3843">
        <w:trPr>
          <w:trHeight w:val="3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7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совершенствованию долговой политики</w:t>
            </w:r>
          </w:p>
        </w:tc>
      </w:tr>
      <w:tr w:rsidR="007F3843" w:rsidRPr="007F3843" w:rsidTr="007F3843">
        <w:trPr>
          <w:trHeight w:val="27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мониторинга параметров муниципального долга Казачинского района и расходов на его обслуживание на соответствие ограничениям, установленным статьями 107, 111 Бюджетного кодекса РФ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параметров ограничениям, установленным Бюджетным кодексом РФ 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843" w:rsidRPr="007F3843" w:rsidRDefault="007F3843" w:rsidP="007F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долг Казачинского района на 01.01.2025 составляет 20 836,00 тыс. руб. Расходы на обслуживание муниципального долга за счет средств районного бюджета на 01.01.2025 составили 1,97 тыс.руб., что не </w:t>
            </w:r>
            <w:proofErr w:type="spellStart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превышаетт</w:t>
            </w:r>
            <w:proofErr w:type="spellEnd"/>
            <w:r w:rsidRPr="007F3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нормативных значений, установленных Бюджетным кодексом РФ.</w:t>
            </w:r>
          </w:p>
        </w:tc>
      </w:tr>
    </w:tbl>
    <w:p w:rsidR="009B33EE" w:rsidRDefault="009B33EE" w:rsidP="007F3843">
      <w:pPr>
        <w:spacing w:after="0" w:line="240" w:lineRule="auto"/>
      </w:pPr>
    </w:p>
    <w:sectPr w:rsidR="009B33EE" w:rsidSect="00F652D9">
      <w:footerReference w:type="default" r:id="rId15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0DD" w:rsidRDefault="00A100DD" w:rsidP="007F3843">
      <w:pPr>
        <w:spacing w:after="0" w:line="240" w:lineRule="auto"/>
      </w:pPr>
      <w:r>
        <w:separator/>
      </w:r>
    </w:p>
  </w:endnote>
  <w:endnote w:type="continuationSeparator" w:id="0">
    <w:p w:rsidR="00A100DD" w:rsidRDefault="00A100DD" w:rsidP="007F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0705804"/>
      <w:docPartObj>
        <w:docPartGallery w:val="Page Numbers (Bottom of Page)"/>
        <w:docPartUnique/>
      </w:docPartObj>
    </w:sdtPr>
    <w:sdtEndPr/>
    <w:sdtContent>
      <w:p w:rsidR="007F3843" w:rsidRDefault="007F384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A34">
          <w:rPr>
            <w:noProof/>
          </w:rPr>
          <w:t>3</w:t>
        </w:r>
        <w:r>
          <w:fldChar w:fldCharType="end"/>
        </w:r>
      </w:p>
    </w:sdtContent>
  </w:sdt>
  <w:p w:rsidR="007F3843" w:rsidRDefault="007F3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0DD" w:rsidRDefault="00A100DD" w:rsidP="007F3843">
      <w:pPr>
        <w:spacing w:after="0" w:line="240" w:lineRule="auto"/>
      </w:pPr>
      <w:r>
        <w:separator/>
      </w:r>
    </w:p>
  </w:footnote>
  <w:footnote w:type="continuationSeparator" w:id="0">
    <w:p w:rsidR="00A100DD" w:rsidRDefault="00A100DD" w:rsidP="007F38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43"/>
    <w:rsid w:val="003750A9"/>
    <w:rsid w:val="006B1917"/>
    <w:rsid w:val="007F3843"/>
    <w:rsid w:val="00842A34"/>
    <w:rsid w:val="009B33EE"/>
    <w:rsid w:val="00A100DD"/>
    <w:rsid w:val="00BE73FA"/>
    <w:rsid w:val="00C83389"/>
    <w:rsid w:val="00CA40C8"/>
    <w:rsid w:val="00DF0879"/>
    <w:rsid w:val="00E803AE"/>
    <w:rsid w:val="00F6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38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F3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3843"/>
  </w:style>
  <w:style w:type="paragraph" w:styleId="a6">
    <w:name w:val="footer"/>
    <w:basedOn w:val="a"/>
    <w:link w:val="a7"/>
    <w:uiPriority w:val="99"/>
    <w:unhideWhenUsed/>
    <w:rsid w:val="007F3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3843"/>
  </w:style>
  <w:style w:type="paragraph" w:styleId="a8">
    <w:name w:val="Balloon Text"/>
    <w:basedOn w:val="a"/>
    <w:link w:val="a9"/>
    <w:uiPriority w:val="99"/>
    <w:semiHidden/>
    <w:unhideWhenUsed/>
    <w:rsid w:val="00E8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0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38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F3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3843"/>
  </w:style>
  <w:style w:type="paragraph" w:styleId="a6">
    <w:name w:val="footer"/>
    <w:basedOn w:val="a"/>
    <w:link w:val="a7"/>
    <w:uiPriority w:val="99"/>
    <w:unhideWhenUsed/>
    <w:rsid w:val="007F3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3843"/>
  </w:style>
  <w:style w:type="paragraph" w:styleId="a8">
    <w:name w:val="Balloon Text"/>
    <w:basedOn w:val="a"/>
    <w:link w:val="a9"/>
    <w:uiPriority w:val="99"/>
    <w:semiHidden/>
    <w:unhideWhenUsed/>
    <w:rsid w:val="00E8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0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kazrn.gosuslugi.ru/deyatelnost/napravleniya-deyatelnosti/kultura/publichnyy-otchet-rukovoditeley-uchrezhdeniy-kultury/" TargetMode="External"/><Relationship Id="rId13" Type="http://schemas.openxmlformats.org/officeDocument/2006/relationships/hyperlink" Target="https://kazachinskij-r04.gosweb.gosuslugi.ru/netcat_files/32/2649/Rezult_ocenki_202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kazrn.gosuslugi.ru/deyatelnost/napravleniya-deyatelnosti/obrazovanie/publichnyy-otchet-ruk-obrazovatelnyh-uchrezhdeniy/" TargetMode="External"/><Relationship Id="rId12" Type="http://schemas.openxmlformats.org/officeDocument/2006/relationships/hyperlink" Target="https://mokazrn.gosuslugi.ru/deyatelnost/napravleniya-deyatelnosti/kultura/otsenka-kachestva-finansovogo-menedzhmenta-podved-uchrezhd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okazrn.gosuslugi.ru/deyatelnost/napravleniya-deyatelnosti/obrazovanie/otsenka-kachestva-finansovogo-menedzhmenta-podved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okazrn.gosuslugi.ru/deyatelnost/napravleniya-deyatelnosti/finansy/finansovoe-upravlenie/svodnyy-reyting-glavnyh-r-b-s-po-kachestvu-fin-menedz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kazrn.gosuslugi.ru/ofitsialno/statistika/informatsiya-o-srednemesyachnoy-zarabotnoy-plate-ruk/" TargetMode="External"/><Relationship Id="rId14" Type="http://schemas.openxmlformats.org/officeDocument/2006/relationships/hyperlink" Target="https://mokazrn.gosuslugi.ru/deyatelnost/napravleniya-deyatelnosti/finansy/finansovoe-upravlenie/svodnyy-reyting-munitsipalnyh-obrazovaniy-ray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6901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5</cp:revision>
  <cp:lastPrinted>2025-03-30T07:25:00Z</cp:lastPrinted>
  <dcterms:created xsi:type="dcterms:W3CDTF">2025-03-21T02:28:00Z</dcterms:created>
  <dcterms:modified xsi:type="dcterms:W3CDTF">2025-03-31T04:48:00Z</dcterms:modified>
</cp:coreProperties>
</file>